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198"/>
        <w:gridCol w:w="2372"/>
      </w:tblGrid>
      <w:tr w:rsidR="00B6213E" w:rsidTr="00587229">
        <w:trPr>
          <w:trHeight w:val="198"/>
        </w:trPr>
        <w:tc>
          <w:tcPr>
            <w:tcW w:w="906" w:type="pct"/>
            <w:vMerge w:val="restart"/>
          </w:tcPr>
          <w:p w:rsidR="00B6213E" w:rsidRDefault="00B6213E" w:rsidP="00587229">
            <w:pPr>
              <w:pStyle w:val="En-tte"/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br w:type="page"/>
            </w:r>
            <w:r>
              <w:rPr>
                <w:noProof/>
                <w:lang w:eastAsia="fr-FR"/>
              </w:rPr>
              <w:drawing>
                <wp:inline distT="0" distB="0" distL="0" distR="0" wp14:anchorId="3508F6D2" wp14:editId="33F1A231">
                  <wp:extent cx="1058927" cy="930777"/>
                  <wp:effectExtent l="0" t="0" r="8255" b="317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_gipftlv_logos_academiqu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27" cy="93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pct"/>
            <w:vMerge w:val="restart"/>
          </w:tcPr>
          <w:p w:rsidR="00B6213E" w:rsidRPr="00D87BA4" w:rsidRDefault="00B6213E" w:rsidP="00587229">
            <w:pPr>
              <w:pStyle w:val="En-tte"/>
            </w:pPr>
          </w:p>
        </w:tc>
        <w:tc>
          <w:tcPr>
            <w:tcW w:w="1133" w:type="pct"/>
          </w:tcPr>
          <w:p w:rsidR="00B6213E" w:rsidRPr="007E44E5" w:rsidRDefault="00B6213E" w:rsidP="00587229">
            <w:pPr>
              <w:pStyle w:val="En-tte"/>
              <w:rPr>
                <w:sz w:val="4"/>
              </w:rPr>
            </w:pPr>
          </w:p>
        </w:tc>
      </w:tr>
      <w:tr w:rsidR="00B6213E" w:rsidTr="00587229">
        <w:trPr>
          <w:trHeight w:val="767"/>
        </w:trPr>
        <w:tc>
          <w:tcPr>
            <w:tcW w:w="906" w:type="pct"/>
            <w:vMerge/>
          </w:tcPr>
          <w:p w:rsidR="00B6213E" w:rsidRDefault="00B6213E" w:rsidP="00587229">
            <w:pPr>
              <w:pStyle w:val="En-tte"/>
            </w:pPr>
          </w:p>
        </w:tc>
        <w:tc>
          <w:tcPr>
            <w:tcW w:w="2961" w:type="pct"/>
            <w:vMerge/>
          </w:tcPr>
          <w:p w:rsidR="00B6213E" w:rsidRDefault="00B6213E" w:rsidP="00587229">
            <w:pPr>
              <w:pStyle w:val="En-tte"/>
              <w:rPr>
                <w:noProof/>
                <w:lang w:eastAsia="fr-FR"/>
              </w:rPr>
            </w:pPr>
          </w:p>
        </w:tc>
        <w:tc>
          <w:tcPr>
            <w:tcW w:w="1133" w:type="pct"/>
          </w:tcPr>
          <w:p w:rsidR="00B6213E" w:rsidRDefault="00B6213E" w:rsidP="00587229">
            <w:pPr>
              <w:pStyle w:val="En-tte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57E80BB7" wp14:editId="7C16441E">
                  <wp:extent cx="1082675" cy="563245"/>
                  <wp:effectExtent l="0" t="0" r="3175" b="0"/>
                  <wp:docPr id="38" name="Image 38" descr="G:\Mon Drive\0.ELEMENTS GRAPHIQUES\LOGOS\2020_LOGOTYPE_RESEAU\Opérateurs sans bord\Logotype_CFA_sans_b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on Drive\0.ELEMENTS GRAPHIQUES\LOGOS\2020_LOGOTYPE_RESEAU\Opérateurs sans bord\Logotype_CFA_sans_b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13E" w:rsidTr="00587229">
        <w:trPr>
          <w:trHeight w:val="338"/>
        </w:trPr>
        <w:tc>
          <w:tcPr>
            <w:tcW w:w="906" w:type="pct"/>
            <w:vMerge/>
          </w:tcPr>
          <w:p w:rsidR="00B6213E" w:rsidRDefault="00B6213E" w:rsidP="00587229">
            <w:pPr>
              <w:pStyle w:val="En-tte"/>
            </w:pPr>
          </w:p>
        </w:tc>
        <w:tc>
          <w:tcPr>
            <w:tcW w:w="2961" w:type="pct"/>
            <w:vMerge/>
          </w:tcPr>
          <w:p w:rsidR="00B6213E" w:rsidRDefault="00B6213E" w:rsidP="00587229">
            <w:pPr>
              <w:pStyle w:val="En-tte"/>
              <w:rPr>
                <w:noProof/>
                <w:lang w:eastAsia="fr-FR"/>
              </w:rPr>
            </w:pPr>
          </w:p>
        </w:tc>
        <w:tc>
          <w:tcPr>
            <w:tcW w:w="1133" w:type="pct"/>
          </w:tcPr>
          <w:p w:rsidR="00B6213E" w:rsidRDefault="00B6213E" w:rsidP="00587229">
            <w:pPr>
              <w:pStyle w:val="En-tte"/>
              <w:rPr>
                <w:noProof/>
                <w:lang w:eastAsia="fr-FR"/>
              </w:rPr>
            </w:pPr>
          </w:p>
        </w:tc>
      </w:tr>
    </w:tbl>
    <w:p w:rsidR="00B6213E" w:rsidRPr="00861CC0" w:rsidRDefault="00B6213E" w:rsidP="00B6213E">
      <w:pPr>
        <w:pStyle w:val="Titre"/>
      </w:pPr>
      <w:r>
        <w:t>NOTICE : FRAIS ANNEXES</w:t>
      </w:r>
    </w:p>
    <w:p w:rsidR="00B6213E" w:rsidRPr="00B6213E" w:rsidRDefault="00B6213E" w:rsidP="00B6213E">
      <w:pPr>
        <w:jc w:val="center"/>
        <w:rPr>
          <w:b/>
          <w:bCs/>
          <w:sz w:val="24"/>
          <w:szCs w:val="18"/>
          <w:u w:val="single"/>
        </w:rPr>
      </w:pPr>
      <w:r w:rsidRPr="006A2758">
        <w:rPr>
          <w:b/>
          <w:bCs/>
          <w:sz w:val="24"/>
          <w:szCs w:val="18"/>
          <w:u w:val="single"/>
        </w:rPr>
        <w:t>Vu l’arrêté du 30 Juillet 2019 relatif aux frais annexes à la formation des apprentis prévus à l’article D6332-83 du Code du Travail</w:t>
      </w:r>
    </w:p>
    <w:p w:rsidR="00B6213E" w:rsidRDefault="00B6213E" w:rsidP="00B6213E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En sus du niveau de prise en charge, les opérateurs de compétences prennent également en charge les frais annexes à la formation constitués par les dépenses d’hébergement, de restauration, de premier équipement pédagogique et de mobilité européenne et internationale.</w:t>
      </w:r>
    </w:p>
    <w:p w:rsidR="00B6213E" w:rsidRDefault="00B6213E" w:rsidP="00B6213E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Ils doivent être identifiés dans la convention de formation.</w:t>
      </w:r>
    </w:p>
    <w:p w:rsidR="00B6213E" w:rsidRPr="00D37DFA" w:rsidRDefault="00B6213E" w:rsidP="00B6213E">
      <w:pPr>
        <w:keepNext/>
        <w:keepLines/>
        <w:spacing w:before="360" w:after="240"/>
        <w:outlineLvl w:val="0"/>
        <w:rPr>
          <w:rFonts w:eastAsiaTheme="majorEastAsia" w:cstheme="majorBidi"/>
          <w:b/>
          <w:bCs/>
          <w:color w:val="264796"/>
          <w:sz w:val="22"/>
        </w:rPr>
      </w:pPr>
      <w:r>
        <w:rPr>
          <w:rFonts w:eastAsiaTheme="majorEastAsia" w:cstheme="majorBidi"/>
          <w:b/>
          <w:bCs/>
          <w:color w:val="264796"/>
          <w:sz w:val="22"/>
        </w:rPr>
        <w:t>Les frais de restauration et d’hébergement</w:t>
      </w:r>
    </w:p>
    <w:p w:rsidR="00B6213E" w:rsidRDefault="00B6213E" w:rsidP="00B6213E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Les frais de restauration sont définis comme la restauration du midi et du soir. Ces frais ne concernent que le temps de formation en CFA.</w:t>
      </w:r>
    </w:p>
    <w:p w:rsidR="00B6213E" w:rsidRDefault="00B6213E" w:rsidP="00B6213E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Les frais de restauration et d’hébergement sont pris en charge, par nuitée, pour un montant de 6,00 € comprenant le petit-déjeuner et les frais de restauration, par repas, pour un montant de 3,00 €.</w:t>
      </w:r>
    </w:p>
    <w:p w:rsidR="00B6213E" w:rsidRDefault="00B6213E" w:rsidP="00B6213E">
      <w:pPr>
        <w:pStyle w:val="Titre2"/>
        <w:spacing w:before="360"/>
      </w:pPr>
      <w:r>
        <w:t>Démarche de l’apprenti</w:t>
      </w:r>
    </w:p>
    <w:p w:rsidR="00B6213E" w:rsidRDefault="00B6213E" w:rsidP="00B6213E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Pour bénéficier de cette prise en charge, l’apprenti doit remplir le formulaire « Demande de prise en charge : hébergement et restauration » chaque fin de trimestre. Vous devez joindre la facture de l’UFA et un RIB (lors de la première demande).</w:t>
      </w:r>
    </w:p>
    <w:p w:rsidR="00B6213E" w:rsidRDefault="00B6213E" w:rsidP="00B6213E">
      <w:pPr>
        <w:keepNext/>
        <w:keepLines/>
        <w:spacing w:before="360" w:after="240"/>
        <w:outlineLvl w:val="0"/>
        <w:rPr>
          <w:rFonts w:eastAsiaTheme="majorEastAsia" w:cstheme="majorBidi"/>
          <w:b/>
          <w:bCs/>
          <w:color w:val="264796"/>
          <w:sz w:val="22"/>
        </w:rPr>
      </w:pPr>
      <w:r>
        <w:rPr>
          <w:rFonts w:eastAsiaTheme="majorEastAsia" w:cstheme="majorBidi"/>
          <w:b/>
          <w:bCs/>
          <w:color w:val="264796"/>
          <w:sz w:val="22"/>
        </w:rPr>
        <w:t>Les frais de premier équipement</w:t>
      </w:r>
    </w:p>
    <w:p w:rsidR="00B6213E" w:rsidRDefault="00B6213E" w:rsidP="00B6213E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Les frais de premier équipement peuvent être définis comme les frais relatifs au premier équipement pédagogique nécessaire à l’exécution de la formation lorsque celle-ci requiert un équipement professionnel spécifique (ex : mallette de couteaux des cuisiniers, ciseaux des coiffeurs, ...).</w:t>
      </w:r>
    </w:p>
    <w:p w:rsidR="00B6213E" w:rsidRDefault="00B6213E" w:rsidP="00B6213E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Les frais de premier équipement n’ont pas vocation à financer l’achat d’ordinateur, ni de contenu pédagogique, ni les EPI.</w:t>
      </w:r>
    </w:p>
    <w:p w:rsidR="00B6213E" w:rsidRDefault="00B6213E" w:rsidP="00B6213E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Le forfait de premier équipement est pris en charge dans la limite d’un plafond maximum de 500,00 € par apprenti. </w:t>
      </w:r>
    </w:p>
    <w:p w:rsidR="00B6213E" w:rsidRDefault="00B6213E" w:rsidP="00B6213E">
      <w:pPr>
        <w:pStyle w:val="Titre2"/>
        <w:spacing w:before="360"/>
      </w:pPr>
      <w:r>
        <w:t>Démarche de l’apprenti</w:t>
      </w:r>
    </w:p>
    <w:p w:rsidR="00B6213E" w:rsidRDefault="00B6213E" w:rsidP="00B6213E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Pour bénéficier de cette prise en charge, l’apprenti doit remplir le formulaire « Demande de prise en charge :</w:t>
      </w:r>
      <w:r>
        <w:rPr>
          <w:bCs/>
          <w:szCs w:val="20"/>
        </w:rPr>
        <w:br/>
        <w:t>1</w:t>
      </w:r>
      <w:r w:rsidRPr="00D27E7B">
        <w:rPr>
          <w:bCs/>
          <w:szCs w:val="20"/>
          <w:vertAlign w:val="superscript"/>
        </w:rPr>
        <w:t>er</w:t>
      </w:r>
      <w:r>
        <w:rPr>
          <w:bCs/>
          <w:szCs w:val="20"/>
        </w:rPr>
        <w:t xml:space="preserve"> équipement » en début de formation. Vous devez joindre la facture du 1</w:t>
      </w:r>
      <w:r w:rsidRPr="00D27E7B">
        <w:rPr>
          <w:bCs/>
          <w:szCs w:val="20"/>
          <w:vertAlign w:val="superscript"/>
        </w:rPr>
        <w:t>er</w:t>
      </w:r>
      <w:r>
        <w:rPr>
          <w:bCs/>
          <w:szCs w:val="20"/>
        </w:rPr>
        <w:t xml:space="preserve"> équipement ainsi qu’un RIB.</w:t>
      </w:r>
    </w:p>
    <w:p w:rsidR="00B6213E" w:rsidRPr="00061AC3" w:rsidRDefault="00B6213E" w:rsidP="00B6213E">
      <w:pPr>
        <w:keepNext/>
        <w:keepLines/>
        <w:spacing w:before="360" w:after="240"/>
        <w:outlineLvl w:val="0"/>
        <w:rPr>
          <w:rFonts w:eastAsiaTheme="majorEastAsia" w:cstheme="majorBidi"/>
          <w:b/>
          <w:bCs/>
          <w:color w:val="264796"/>
          <w:sz w:val="22"/>
        </w:rPr>
      </w:pPr>
      <w:r>
        <w:rPr>
          <w:rFonts w:eastAsiaTheme="majorEastAsia" w:cstheme="majorBidi"/>
          <w:b/>
          <w:bCs/>
          <w:color w:val="264796"/>
          <w:sz w:val="22"/>
        </w:rPr>
        <w:t>Mobilité internationale et européenne</w:t>
      </w:r>
    </w:p>
    <w:p w:rsidR="00DA5FE8" w:rsidRPr="00B6213E" w:rsidRDefault="00B6213E" w:rsidP="00B6213E">
      <w:r>
        <w:rPr>
          <w:bCs/>
          <w:szCs w:val="20"/>
        </w:rPr>
        <w:t>Pour toute demande relative à la mobilité européenne et internationale, vous pouvez contacter Madame KHADIR Nadia par téléphone au : 03.80.44.87.79 ou par mail à l’adresse suivante : cfa.mobilite@ac-dijon.fr.</w:t>
      </w:r>
    </w:p>
    <w:sectPr w:rsidR="00DA5FE8" w:rsidRPr="00B6213E" w:rsidSect="003C7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9B" w:rsidRDefault="004A2D9B" w:rsidP="00061AC3">
      <w:pPr>
        <w:spacing w:after="0" w:line="240" w:lineRule="auto"/>
      </w:pPr>
      <w:r>
        <w:separator/>
      </w:r>
    </w:p>
  </w:endnote>
  <w:endnote w:type="continuationSeparator" w:id="0">
    <w:p w:rsidR="004A2D9B" w:rsidRDefault="004A2D9B" w:rsidP="0006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7C" w:rsidRDefault="00A54C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eastAsiaTheme="minorHAnsi"/>
        <w:i/>
        <w:color w:val="939598"/>
        <w:sz w:val="14"/>
        <w:szCs w:val="22"/>
        <w:lang w:eastAsia="en-US"/>
      </w:rPr>
      <w:id w:val="486675477"/>
      <w:docPartObj>
        <w:docPartGallery w:val="Page Numbers (Bottom of Page)"/>
        <w:docPartUnique/>
      </w:docPartObj>
    </w:sdtPr>
    <w:sdtEndPr>
      <w:rPr>
        <w:rStyle w:val="Numrodepage"/>
        <w:rFonts w:eastAsia="Calibri"/>
        <w:sz w:val="18"/>
      </w:rPr>
    </w:sdtEndPr>
    <w:sdtContent>
      <w:p w:rsidR="007E44E5" w:rsidRPr="00BA3536" w:rsidRDefault="00043D6C" w:rsidP="007E44E5">
        <w:pPr>
          <w:pStyle w:val="Pagination"/>
        </w:pPr>
        <w:r w:rsidRPr="00BA3536">
          <w:rPr>
            <w:rStyle w:val="Numrodepage"/>
            <w:rFonts w:eastAsiaTheme="majorEastAsia"/>
          </w:rPr>
          <w:fldChar w:fldCharType="begin"/>
        </w:r>
        <w:r w:rsidRPr="00BA3536">
          <w:rPr>
            <w:rStyle w:val="Numrodepage"/>
            <w:rFonts w:eastAsiaTheme="majorEastAsia"/>
          </w:rPr>
          <w:instrText>PAGE  \* Arabic  \* MERGEFORMAT</w:instrText>
        </w:r>
        <w:r w:rsidRPr="00BA3536">
          <w:rPr>
            <w:rStyle w:val="Numrodepage"/>
            <w:rFonts w:eastAsiaTheme="majorEastAsia"/>
          </w:rPr>
          <w:fldChar w:fldCharType="separate"/>
        </w:r>
        <w:r w:rsidR="007A7FD4">
          <w:rPr>
            <w:rStyle w:val="Numrodepage"/>
            <w:rFonts w:eastAsiaTheme="majorEastAsia"/>
            <w:noProof/>
          </w:rPr>
          <w:t>1</w:t>
        </w:r>
        <w:r w:rsidRPr="00BA3536">
          <w:rPr>
            <w:rStyle w:val="Numrodepage"/>
            <w:rFonts w:eastAsiaTheme="majorEastAsia"/>
          </w:rPr>
          <w:fldChar w:fldCharType="end"/>
        </w:r>
        <w:r w:rsidRPr="00BA3536">
          <w:rPr>
            <w:rStyle w:val="Numrodepage"/>
            <w:rFonts w:eastAsiaTheme="majorEastAsia"/>
          </w:rPr>
          <w:t>/</w:t>
        </w:r>
        <w:r w:rsidRPr="00BA3536">
          <w:rPr>
            <w:rStyle w:val="Numrodepage"/>
            <w:rFonts w:eastAsiaTheme="majorEastAsia"/>
          </w:rPr>
          <w:fldChar w:fldCharType="begin"/>
        </w:r>
        <w:r w:rsidRPr="00BA3536">
          <w:rPr>
            <w:rStyle w:val="Numrodepage"/>
            <w:rFonts w:eastAsiaTheme="majorEastAsia"/>
          </w:rPr>
          <w:instrText>NUMPAGES  \* Arabic  \* MERGEFORMAT</w:instrText>
        </w:r>
        <w:r w:rsidRPr="00BA3536">
          <w:rPr>
            <w:rStyle w:val="Numrodepage"/>
            <w:rFonts w:eastAsiaTheme="majorEastAsia"/>
          </w:rPr>
          <w:fldChar w:fldCharType="separate"/>
        </w:r>
        <w:r w:rsidR="007A7FD4">
          <w:rPr>
            <w:rStyle w:val="Numrodepage"/>
            <w:rFonts w:eastAsiaTheme="majorEastAsia"/>
            <w:noProof/>
          </w:rPr>
          <w:t>1</w:t>
        </w:r>
        <w:r w:rsidRPr="00BA3536">
          <w:rPr>
            <w:rStyle w:val="Numrodepage"/>
            <w:rFonts w:eastAsiaTheme="majorEastAsia"/>
          </w:rPr>
          <w:fldChar w:fldCharType="end"/>
        </w:r>
      </w:p>
      <w:p w:rsidR="007E44E5" w:rsidRDefault="00A54C7C" w:rsidP="007E44E5">
        <w:pPr>
          <w:pStyle w:val="Pieddepagerefqualit"/>
        </w:pPr>
        <w:r>
          <w:t>DocCFA049</w:t>
        </w:r>
        <w:r w:rsidR="00043D6C" w:rsidRPr="00EB2406">
          <w:t>_</w:t>
        </w:r>
        <w:r w:rsidR="00061AC3">
          <w:t>NOTIC</w:t>
        </w:r>
        <w:r w:rsidR="00043D6C">
          <w:t>E : FRAIS ANNEXES</w:t>
        </w:r>
        <w:r w:rsidR="00043D6C" w:rsidRPr="00EB2406">
          <w:t xml:space="preserve"> / </w:t>
        </w:r>
        <w:r>
          <w:t>JJ / 06 03 2024</w:t>
        </w:r>
        <w:r w:rsidR="00043D6C">
          <w:t xml:space="preserve"> / V1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7C" w:rsidRDefault="00A54C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9B" w:rsidRDefault="004A2D9B" w:rsidP="00061AC3">
      <w:pPr>
        <w:spacing w:after="0" w:line="240" w:lineRule="auto"/>
      </w:pPr>
      <w:r>
        <w:separator/>
      </w:r>
    </w:p>
  </w:footnote>
  <w:footnote w:type="continuationSeparator" w:id="0">
    <w:p w:rsidR="004A2D9B" w:rsidRDefault="004A2D9B" w:rsidP="0006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7C" w:rsidRDefault="00A54C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7C" w:rsidRDefault="00A54C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7C" w:rsidRDefault="00A54C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79"/>
    <w:rsid w:val="00043D6C"/>
    <w:rsid w:val="00061AC3"/>
    <w:rsid w:val="000A43C7"/>
    <w:rsid w:val="00132101"/>
    <w:rsid w:val="00465386"/>
    <w:rsid w:val="004A2D9B"/>
    <w:rsid w:val="00580B3B"/>
    <w:rsid w:val="00690652"/>
    <w:rsid w:val="006D5CB8"/>
    <w:rsid w:val="007A7FD4"/>
    <w:rsid w:val="00861CC0"/>
    <w:rsid w:val="00A3412B"/>
    <w:rsid w:val="00A54C7C"/>
    <w:rsid w:val="00B6213E"/>
    <w:rsid w:val="00D37DFA"/>
    <w:rsid w:val="00D84590"/>
    <w:rsid w:val="00DA5FE8"/>
    <w:rsid w:val="00DA7F62"/>
    <w:rsid w:val="00DF45DE"/>
    <w:rsid w:val="00F678C6"/>
    <w:rsid w:val="00F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FE5D-3420-4C9C-B143-E8E70C5B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79"/>
    <w:rPr>
      <w:rFonts w:ascii="Arial" w:hAnsi="Arial"/>
      <w:sz w:val="20"/>
    </w:rPr>
  </w:style>
  <w:style w:type="paragraph" w:styleId="Titre2">
    <w:name w:val="heading 2"/>
    <w:basedOn w:val="Normal"/>
    <w:next w:val="Normal"/>
    <w:link w:val="Titre2Car"/>
    <w:unhideWhenUsed/>
    <w:qFormat/>
    <w:rsid w:val="00D37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A79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F71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F71A79"/>
  </w:style>
  <w:style w:type="paragraph" w:customStyle="1" w:styleId="Pagination">
    <w:name w:val="Pagination"/>
    <w:basedOn w:val="Normal"/>
    <w:next w:val="Pieddepage"/>
    <w:qFormat/>
    <w:rsid w:val="00F71A79"/>
    <w:pPr>
      <w:spacing w:before="60" w:after="60" w:line="240" w:lineRule="auto"/>
      <w:jc w:val="center"/>
    </w:pPr>
    <w:rPr>
      <w:rFonts w:eastAsia="Times New Roman" w:cs="Arial"/>
      <w:szCs w:val="14"/>
      <w:lang w:eastAsia="fr-FR"/>
    </w:rPr>
  </w:style>
  <w:style w:type="paragraph" w:customStyle="1" w:styleId="Pieddepagerefqualit">
    <w:name w:val="Pied de page ref qualité"/>
    <w:basedOn w:val="Normal"/>
    <w:qFormat/>
    <w:rsid w:val="00F71A79"/>
    <w:pPr>
      <w:widowControl w:val="0"/>
      <w:pBdr>
        <w:top w:val="single" w:sz="18" w:space="1" w:color="00B0F0"/>
      </w:pBdr>
      <w:autoSpaceDE w:val="0"/>
      <w:autoSpaceDN w:val="0"/>
      <w:spacing w:after="120" w:line="161" w:lineRule="exact"/>
      <w:jc w:val="right"/>
    </w:pPr>
    <w:rPr>
      <w:rFonts w:eastAsia="Calibri" w:cs="Arial"/>
      <w:i/>
      <w:color w:val="939598"/>
      <w:sz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A79"/>
    <w:pPr>
      <w:keepNext/>
      <w:keepLines/>
      <w:pBdr>
        <w:bottom w:val="single" w:sz="18" w:space="1" w:color="264796"/>
      </w:pBdr>
      <w:spacing w:after="600" w:line="240" w:lineRule="auto"/>
      <w:jc w:val="center"/>
      <w:outlineLvl w:val="0"/>
    </w:pPr>
    <w:rPr>
      <w:rFonts w:eastAsiaTheme="majorEastAsia" w:cs="Arial"/>
      <w:b/>
      <w:color w:val="264796"/>
      <w:sz w:val="32"/>
      <w:szCs w:val="28"/>
    </w:rPr>
  </w:style>
  <w:style w:type="character" w:customStyle="1" w:styleId="TitreCar">
    <w:name w:val="Titre Car"/>
    <w:basedOn w:val="Policepardfaut"/>
    <w:link w:val="Titre"/>
    <w:uiPriority w:val="10"/>
    <w:rsid w:val="00F71A79"/>
    <w:rPr>
      <w:rFonts w:ascii="Arial" w:eastAsiaTheme="majorEastAsia" w:hAnsi="Arial" w:cs="Arial"/>
      <w:b/>
      <w:color w:val="264796"/>
      <w:sz w:val="32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F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A79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rsid w:val="00D37D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GIP7</dc:creator>
  <cp:keywords/>
  <dc:description/>
  <cp:lastModifiedBy>Marie-Hélène Pichot-Bouillot</cp:lastModifiedBy>
  <cp:revision>2</cp:revision>
  <dcterms:created xsi:type="dcterms:W3CDTF">2024-04-16T10:18:00Z</dcterms:created>
  <dcterms:modified xsi:type="dcterms:W3CDTF">2024-04-16T10:18:00Z</dcterms:modified>
</cp:coreProperties>
</file>